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16" w:rsidRPr="00871362" w:rsidRDefault="00EB654E" w:rsidP="00EB654E">
      <w:pPr>
        <w:tabs>
          <w:tab w:val="left" w:pos="488"/>
          <w:tab w:val="left" w:pos="2492"/>
          <w:tab w:val="center" w:pos="4536"/>
          <w:tab w:val="right" w:pos="9072"/>
          <w:tab w:val="left" w:pos="9356"/>
        </w:tabs>
        <w:rPr>
          <w:rFonts w:ascii="Trebuchet MS" w:eastAsia="Times New Roman" w:hAnsi="Trebuchet MS" w:cs="Segoe UI Historic"/>
          <w:color w:val="050505"/>
          <w:sz w:val="22"/>
        </w:rPr>
      </w:pPr>
      <w:bookmarkStart w:id="0" w:name="_GoBack"/>
      <w:bookmarkEnd w:id="0"/>
      <w:r>
        <w:rPr>
          <w:rFonts w:ascii="Trebuchet MS" w:eastAsia="Times New Roman" w:hAnsi="Trebuchet MS" w:cs="Segoe UI Historic"/>
          <w:color w:val="050505"/>
          <w:sz w:val="22"/>
        </w:rPr>
        <w:t>22 f</w:t>
      </w:r>
      <w:r w:rsidR="006E4338" w:rsidRPr="00871362">
        <w:rPr>
          <w:rFonts w:ascii="Trebuchet MS" w:eastAsia="Times New Roman" w:hAnsi="Trebuchet MS" w:cs="Segoe UI Historic"/>
          <w:color w:val="050505"/>
          <w:sz w:val="22"/>
        </w:rPr>
        <w:t xml:space="preserve">ebruarie </w:t>
      </w:r>
      <w:r w:rsidR="00057516" w:rsidRPr="00871362">
        <w:rPr>
          <w:rFonts w:ascii="Trebuchet MS" w:eastAsia="Times New Roman" w:hAnsi="Trebuchet MS" w:cs="Segoe UI Historic"/>
          <w:color w:val="050505"/>
          <w:sz w:val="22"/>
        </w:rPr>
        <w:t>2024</w:t>
      </w:r>
    </w:p>
    <w:p w:rsidR="00DB2F5A" w:rsidRPr="0005215B" w:rsidRDefault="00DB2F5A" w:rsidP="00057516">
      <w:pPr>
        <w:tabs>
          <w:tab w:val="left" w:pos="4536"/>
        </w:tabs>
        <w:jc w:val="center"/>
        <w:rPr>
          <w:rFonts w:ascii="Trebuchet MS" w:hAnsi="Trebuchet MS"/>
        </w:rPr>
      </w:pPr>
    </w:p>
    <w:p w:rsidR="005158BA" w:rsidRDefault="005158BA" w:rsidP="00057516">
      <w:pPr>
        <w:tabs>
          <w:tab w:val="left" w:pos="4536"/>
        </w:tabs>
        <w:jc w:val="center"/>
        <w:rPr>
          <w:rFonts w:ascii="Trebuchet MS" w:hAnsi="Trebuchet MS"/>
          <w:sz w:val="28"/>
          <w:szCs w:val="28"/>
        </w:rPr>
      </w:pPr>
    </w:p>
    <w:p w:rsidR="005158BA" w:rsidRDefault="005158BA" w:rsidP="00057516">
      <w:pPr>
        <w:tabs>
          <w:tab w:val="left" w:pos="4536"/>
        </w:tabs>
        <w:jc w:val="center"/>
        <w:rPr>
          <w:rFonts w:ascii="Trebuchet MS" w:hAnsi="Trebuchet MS"/>
          <w:sz w:val="28"/>
          <w:szCs w:val="28"/>
        </w:rPr>
      </w:pPr>
    </w:p>
    <w:p w:rsidR="00057516" w:rsidRDefault="00057516" w:rsidP="00057516">
      <w:pPr>
        <w:tabs>
          <w:tab w:val="left" w:pos="4536"/>
        </w:tabs>
        <w:jc w:val="center"/>
        <w:rPr>
          <w:rFonts w:ascii="Trebuchet MS" w:hAnsi="Trebuchet MS"/>
          <w:sz w:val="28"/>
          <w:szCs w:val="28"/>
        </w:rPr>
      </w:pPr>
      <w:r w:rsidRPr="005158BA">
        <w:rPr>
          <w:rFonts w:ascii="Trebuchet MS" w:hAnsi="Trebuchet MS"/>
          <w:sz w:val="28"/>
          <w:szCs w:val="28"/>
        </w:rPr>
        <w:t>Comunicat de presă</w:t>
      </w:r>
    </w:p>
    <w:p w:rsidR="005158BA" w:rsidRPr="005158BA" w:rsidRDefault="005158BA" w:rsidP="00057516">
      <w:pPr>
        <w:tabs>
          <w:tab w:val="left" w:pos="4536"/>
        </w:tabs>
        <w:jc w:val="center"/>
        <w:rPr>
          <w:rFonts w:ascii="Trebuchet MS" w:hAnsi="Trebuchet MS"/>
          <w:sz w:val="28"/>
          <w:szCs w:val="28"/>
        </w:rPr>
      </w:pPr>
    </w:p>
    <w:p w:rsidR="00B23B21" w:rsidRDefault="00B23B21" w:rsidP="00057516">
      <w:pPr>
        <w:tabs>
          <w:tab w:val="left" w:pos="4536"/>
        </w:tabs>
        <w:jc w:val="center"/>
        <w:rPr>
          <w:rFonts w:ascii="Trebuchet MS" w:hAnsi="Trebuchet MS"/>
          <w:b/>
          <w:bCs/>
          <w:color w:val="0066B2"/>
        </w:rPr>
      </w:pPr>
      <w:r w:rsidRPr="005158BA">
        <w:rPr>
          <w:rFonts w:ascii="Trebuchet MS" w:hAnsi="Trebuchet MS"/>
          <w:b/>
          <w:bCs/>
          <w:color w:val="0066B2"/>
        </w:rPr>
        <w:t>„PNRR: Fonduri pentru România modernă și reformată!”</w:t>
      </w:r>
    </w:p>
    <w:p w:rsidR="005158BA" w:rsidRPr="005158BA" w:rsidRDefault="005158BA" w:rsidP="00057516">
      <w:pPr>
        <w:tabs>
          <w:tab w:val="left" w:pos="4536"/>
        </w:tabs>
        <w:jc w:val="center"/>
        <w:rPr>
          <w:rFonts w:ascii="Trebuchet MS" w:hAnsi="Trebuchet MS"/>
          <w:b/>
          <w:bCs/>
          <w:color w:val="0066B2"/>
        </w:rPr>
      </w:pPr>
    </w:p>
    <w:p w:rsidR="0005215B" w:rsidRPr="00871362" w:rsidRDefault="0005215B" w:rsidP="00057516">
      <w:pPr>
        <w:tabs>
          <w:tab w:val="left" w:pos="4536"/>
        </w:tabs>
        <w:jc w:val="center"/>
        <w:rPr>
          <w:rFonts w:ascii="Trebuchet MS" w:hAnsi="Trebuchet MS"/>
          <w:sz w:val="20"/>
          <w:szCs w:val="20"/>
        </w:rPr>
      </w:pPr>
    </w:p>
    <w:p w:rsidR="00101230" w:rsidRDefault="00101230" w:rsidP="00101230">
      <w:pPr>
        <w:jc w:val="center"/>
        <w:rPr>
          <w:b/>
          <w:bCs/>
        </w:rPr>
      </w:pPr>
      <w:r>
        <w:rPr>
          <w:b/>
          <w:bCs/>
        </w:rPr>
        <w:t>C O M U N I C A T</w:t>
      </w:r>
    </w:p>
    <w:p w:rsidR="00101230" w:rsidRDefault="00101230" w:rsidP="00101230">
      <w:pPr>
        <w:ind w:left="142"/>
        <w:jc w:val="both"/>
        <w:rPr>
          <w:lang w:val="en-US"/>
        </w:rPr>
      </w:pPr>
      <w:r>
        <w:t xml:space="preserve">        Direcția de Asistență Socială Oțelu Roșu este o institutie publica specializată în administrarea și acordarea beneficiilor de asistență socială și a serviciilor sociale, cu personalitate juridică, înființată în subordinea Consiliului Local Oțelu Roșu, cu scopul de a asigura aplicarea politicilor sociale în domeniul protecției copilului, familiei, persoanelor vârstnice, persoanelor cu dizabilități, precum și a altor persoane, grupuri sau comunități aflate în nevoie socială.</w:t>
      </w:r>
    </w:p>
    <w:p w:rsidR="00101230" w:rsidRDefault="00101230" w:rsidP="00101230">
      <w:pPr>
        <w:ind w:left="142"/>
        <w:jc w:val="both"/>
      </w:pPr>
      <w:r>
        <w:t xml:space="preserve">       Direcția de Asistență Socială Oțelu Roșu este acreditată în conformitate cu prevederile Legii nr. 197/2012 privind asigurarea calității în domeniul serviciilor sociale, cu modificările și completările ulterioare și este autorizată să acorde servicii sociale, conform Certificatului de acreditare seria AF, nr.007885, din 09.02.2022 eliberat de Ministerul Muncii și Justiției Sociale.</w:t>
      </w:r>
    </w:p>
    <w:p w:rsidR="00101230" w:rsidRPr="00101230" w:rsidRDefault="00101230" w:rsidP="00101230">
      <w:pPr>
        <w:jc w:val="both"/>
        <w:rPr>
          <w:u w:val="single"/>
        </w:rPr>
      </w:pPr>
      <w:r w:rsidRPr="00101230">
        <w:rPr>
          <w:u w:val="single"/>
        </w:rPr>
        <w:t xml:space="preserve">     Direcția de Asistență Socială Oțelu Roșu, derulează proiectul ”Centrul de zi pentru personae adulte cu dizabilități Oțelu Roșu” derulat prin PNRR, finanțat de Uniunea Europeana, </w:t>
      </w:r>
      <w:bookmarkStart w:id="1" w:name="_Hlk154723066"/>
      <w:r w:rsidRPr="00101230">
        <w:rPr>
          <w:u w:val="single"/>
        </w:rPr>
        <w:t>Componenta 13- Reforme sociale Investiția 2. Reabilitarea/renovarea și dezvoltarea infrastructurii sociale pentru persoanele cu dizabilități Apel competitiv ”Dezvoltrea infrastructurii sociale pentru persoane cu dizabilități-Sesiunea 2”, apelul de proiecte PNRR/2022/C13/I1</w:t>
      </w:r>
      <w:bookmarkEnd w:id="1"/>
      <w:r w:rsidRPr="00101230">
        <w:rPr>
          <w:u w:val="single"/>
        </w:rPr>
        <w:t xml:space="preserve">. Contractul de finanțare, cu o valoare totală a finanțării nerambursabile a proiectului de </w:t>
      </w:r>
      <w:r w:rsidRPr="00101230">
        <w:rPr>
          <w:bCs/>
          <w:u w:val="single"/>
        </w:rPr>
        <w:t>3.977.377,92 lei</w:t>
      </w:r>
      <w:r w:rsidRPr="00101230">
        <w:rPr>
          <w:u w:val="single"/>
        </w:rPr>
        <w:t xml:space="preserve">,  din care valoarea eligibilă  din PNRR (fără TVA) 3.342.334,39 lei și valoarea TVA aferentă cheltuielilor eligibile din PNPP 635.043,53 lei conform bugetului proiectului. </w:t>
      </w:r>
    </w:p>
    <w:p w:rsidR="00101230" w:rsidRDefault="00101230" w:rsidP="00101230">
      <w:pPr>
        <w:jc w:val="both"/>
      </w:pPr>
      <w:r>
        <w:t xml:space="preserve">       Scopul proiectului este: dezvoltarea infrastructurii sociale pentru persoanele cu dizabilități prin furnizarea de servicii care să previn instituionalizarea și marginalizarea, precum și dezvoltarea abilităților persoanelor adulte cu dizabilități prin construirea unei clădiri în vederea înființării primului centru de zi din localitatea Oțelu Roșu. Serviciile furnizate de centru sunt destinate persoanelor adulte cu dizabilitățăi aflate în mediul familial de pe raza orașului Oțelu Roșu, cu scopul de a preveni izolarea/marginalizarea, precum instituționalizarea acestora.</w:t>
      </w:r>
    </w:p>
    <w:p w:rsidR="00101230" w:rsidRDefault="00101230" w:rsidP="00101230">
      <w:pPr>
        <w:ind w:firstLine="720"/>
        <w:jc w:val="both"/>
      </w:pPr>
      <w:r>
        <w:rPr>
          <w:b/>
        </w:rPr>
        <w:t>Obiectiv specific 1</w:t>
      </w:r>
      <w:r>
        <w:t>: Dezvoltarea capacității instituționale si administrative a DAS Oțelu Roșu de a furniza servicii sociale pentru persoanele adulte cu dizabiliti prin înființarea primului centru de zi din oraș;</w:t>
      </w:r>
    </w:p>
    <w:p w:rsidR="00101230" w:rsidRDefault="00101230" w:rsidP="00101230">
      <w:pPr>
        <w:ind w:firstLine="720"/>
        <w:jc w:val="both"/>
      </w:pPr>
      <w:r>
        <w:t xml:space="preserve"> </w:t>
      </w:r>
      <w:r>
        <w:rPr>
          <w:b/>
        </w:rPr>
        <w:t>Obiectiv specific 2</w:t>
      </w:r>
      <w:r>
        <w:t>: Construcția și dotarea noului centru de zi, conform standardelor în vigoare;</w:t>
      </w:r>
    </w:p>
    <w:p w:rsidR="00101230" w:rsidRDefault="00101230" w:rsidP="00101230">
      <w:pPr>
        <w:ind w:firstLine="720"/>
        <w:jc w:val="both"/>
      </w:pPr>
      <w:r>
        <w:t xml:space="preserve"> </w:t>
      </w:r>
      <w:r>
        <w:rPr>
          <w:b/>
        </w:rPr>
        <w:t>Obiectiv specific 3</w:t>
      </w:r>
      <w:r>
        <w:t>: Furnizarea de servicii sociale care să prevină  instituionalizarea și marginalizarea socială</w:t>
      </w:r>
    </w:p>
    <w:p w:rsidR="00101230" w:rsidRDefault="00101230" w:rsidP="00101230">
      <w:pPr>
        <w:ind w:firstLine="720"/>
        <w:jc w:val="both"/>
      </w:pPr>
      <w:r>
        <w:t>Capacitatea centrului de zi: 12 locuri/zi.</w:t>
      </w:r>
    </w:p>
    <w:p w:rsidR="00101230" w:rsidRDefault="00101230" w:rsidP="00101230">
      <w:pPr>
        <w:ind w:firstLine="720"/>
        <w:jc w:val="both"/>
      </w:pPr>
      <w:r>
        <w:rPr>
          <w:b/>
        </w:rPr>
        <w:t>Grupul țină direct al proiectului</w:t>
      </w:r>
      <w:r>
        <w:t xml:space="preserve"> este reprezentat de persoane adulte cu dizabilităi domiciliate pe raza orașului Oțelu Roșu, care dețin certificat de încadrare într-un grad de handicap. </w:t>
      </w:r>
      <w:r>
        <w:rPr>
          <w:i/>
        </w:rPr>
        <w:t>Grupul țintă indirect</w:t>
      </w:r>
      <w:r>
        <w:t xml:space="preserve"> este reprezentat de familiile persoanelor adulte cu dizabilități beneficiari ai centrului. </w:t>
      </w:r>
    </w:p>
    <w:p w:rsidR="00101230" w:rsidRDefault="00101230" w:rsidP="00101230">
      <w:pPr>
        <w:ind w:firstLine="720"/>
        <w:jc w:val="both"/>
        <w:rPr>
          <w:i/>
        </w:rPr>
      </w:pPr>
      <w:r>
        <w:rPr>
          <w:i/>
        </w:rPr>
        <w:t xml:space="preserve">Amplasarea, accesibilitatea, facilităile care vor fi oferite persoanelor cu dizabilităi în noile servicii: </w:t>
      </w:r>
    </w:p>
    <w:p w:rsidR="00101230" w:rsidRDefault="00101230" w:rsidP="00101230">
      <w:pPr>
        <w:ind w:firstLine="720"/>
        <w:jc w:val="both"/>
      </w:pPr>
      <w:r>
        <w:t xml:space="preserve">Înființarea unui centru de zi pentru persoane adulte cu dizabilități reprezintă un sprijin real si necesar pentru aceste persoane, scopul centrului fiind de a contribui prin serviciile furnizate la creșterea gradului de autonomie sau independen implicit, creșterea calității vieții acestor persoane. </w:t>
      </w:r>
      <w:r>
        <w:lastRenderedPageBreak/>
        <w:t xml:space="preserve">Principalele servicii furnizate in cadrul centrului vizeaz : </w:t>
      </w:r>
    </w:p>
    <w:p w:rsidR="00101230" w:rsidRDefault="00101230" w:rsidP="00101230">
      <w:pPr>
        <w:ind w:firstLine="720"/>
        <w:jc w:val="both"/>
      </w:pPr>
      <w:r>
        <w:t xml:space="preserve">-Informare și consiliere socială; </w:t>
      </w:r>
    </w:p>
    <w:p w:rsidR="00101230" w:rsidRDefault="00101230" w:rsidP="00101230">
      <w:pPr>
        <w:ind w:firstLine="720"/>
        <w:jc w:val="both"/>
      </w:pPr>
      <w:r>
        <w:t xml:space="preserve">-Consiliere psihologică ; </w:t>
      </w:r>
    </w:p>
    <w:p w:rsidR="00101230" w:rsidRDefault="00101230" w:rsidP="00101230">
      <w:pPr>
        <w:ind w:firstLine="720"/>
        <w:jc w:val="both"/>
      </w:pPr>
      <w:r>
        <w:t xml:space="preserve">-Dezvoltarea deprinderilor de viață independentă (cognitive, abiliti de comunicare, deprinderi de autonomie personal , îngrijirea și meninerea sănătății, deprinderi de autogospodărire, abilități sociale) ; </w:t>
      </w:r>
    </w:p>
    <w:p w:rsidR="00101230" w:rsidRDefault="00101230" w:rsidP="00101230">
      <w:pPr>
        <w:ind w:firstLine="720"/>
        <w:jc w:val="both"/>
      </w:pPr>
      <w:r>
        <w:t>-Integrare și participare social și civic (cunoașterea mediului social, activiti sportive, culturale, artistice desfăurate în comunitate, acțiuni de recreerei petrecere a timpului liber, vizite, excursii, tabere, participare la conferinei seminarii, sprijin pentru accesarea diferitelor servicii din comunitate)</w:t>
      </w:r>
    </w:p>
    <w:p w:rsidR="00101230" w:rsidRDefault="00101230" w:rsidP="00101230">
      <w:pPr>
        <w:ind w:firstLine="720"/>
        <w:jc w:val="both"/>
      </w:pPr>
      <w:r>
        <w:t xml:space="preserve">Centrul de zi va avea o capacitate de 12 locuri/zi destinate persoanelor adulte cu dizabilități. Acesta va oferi servicii în baza contractului de servicii încheiat cu beneficiarul, pe o perioada determinata. Petrecerea unui timp determinat într-un astfel de centru permite relaxarea asistentului personal/al îngrijitorului, a familiei și astfel, sindromul de epuizare poate fi evitat. Centrul va fi proiectat pe principii specifice de design prietenoase cu tipul dehandicap, va creste calitatea vieții rezidentului și, implicit, oferă încredere familiei să apeleze periodic la astfel de servicii. </w:t>
      </w:r>
    </w:p>
    <w:p w:rsidR="00101230" w:rsidRDefault="00101230" w:rsidP="00101230">
      <w:pPr>
        <w:pStyle w:val="BodyText"/>
      </w:pPr>
      <w:r>
        <w:rPr>
          <w:i/>
        </w:rPr>
        <w:t>Informații suplimentare pot fi solicitate la numărul de telefon:</w:t>
      </w:r>
    </w:p>
    <w:p w:rsidR="00101230" w:rsidRDefault="00101230" w:rsidP="00101230">
      <w:pPr>
        <w:pStyle w:val="BodyText"/>
        <w:numPr>
          <w:ilvl w:val="0"/>
          <w:numId w:val="2"/>
        </w:numPr>
        <w:spacing w:after="0"/>
        <w:jc w:val="both"/>
        <w:rPr>
          <w:i/>
        </w:rPr>
      </w:pPr>
      <w:r>
        <w:rPr>
          <w:i/>
        </w:rPr>
        <w:t>0723998459 Lazăr Ana Trandafira – manager de proiect.</w:t>
      </w:r>
    </w:p>
    <w:p w:rsidR="00101230" w:rsidRDefault="00101230" w:rsidP="00101230">
      <w:pPr>
        <w:pStyle w:val="BodyText"/>
        <w:numPr>
          <w:ilvl w:val="0"/>
          <w:numId w:val="2"/>
        </w:numPr>
        <w:spacing w:after="0"/>
        <w:jc w:val="both"/>
        <w:rPr>
          <w:i/>
        </w:rPr>
      </w:pPr>
      <w:r>
        <w:rPr>
          <w:i/>
        </w:rPr>
        <w:t>0771114820  Pepa Ana – Responsabil cu informarea și publicitatea.</w:t>
      </w:r>
    </w:p>
    <w:p w:rsidR="00101230" w:rsidRDefault="00101230" w:rsidP="00101230">
      <w:pPr>
        <w:pStyle w:val="BodyText"/>
        <w:rPr>
          <w:i/>
        </w:rPr>
      </w:pPr>
    </w:p>
    <w:p w:rsidR="00101230" w:rsidRDefault="00101230" w:rsidP="00101230">
      <w:pPr>
        <w:pStyle w:val="BodyText"/>
        <w:rPr>
          <w:i/>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5158BA" w:rsidRDefault="005158BA" w:rsidP="00871362">
      <w:pPr>
        <w:jc w:val="both"/>
        <w:rPr>
          <w:rFonts w:ascii="Trebuchet MS" w:eastAsia="Times New Roman" w:hAnsi="Trebuchet MS" w:cs="Segoe UI Historic"/>
          <w:color w:val="050505"/>
          <w:sz w:val="20"/>
          <w:szCs w:val="20"/>
        </w:rPr>
      </w:pPr>
    </w:p>
    <w:p w:rsidR="00871362" w:rsidRPr="00871362" w:rsidRDefault="00871362" w:rsidP="00871362">
      <w:pPr>
        <w:jc w:val="both"/>
        <w:rPr>
          <w:rFonts w:ascii="Trebuchet MS" w:eastAsia="Times New Roman" w:hAnsi="Trebuchet MS" w:cs="Segoe UI Historic"/>
          <w:color w:val="050505"/>
          <w:sz w:val="20"/>
          <w:szCs w:val="20"/>
        </w:rPr>
      </w:pPr>
    </w:p>
    <w:p w:rsidR="00871362" w:rsidRDefault="00871362" w:rsidP="00871362">
      <w:pPr>
        <w:jc w:val="both"/>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4228E8" w:rsidRDefault="004228E8" w:rsidP="00871362">
      <w:pPr>
        <w:jc w:val="center"/>
        <w:rPr>
          <w:rFonts w:ascii="Trebuchet MS" w:hAnsi="Trebuchet MS" w:cs="Arial"/>
          <w:i/>
          <w:color w:val="212121"/>
          <w:sz w:val="16"/>
          <w:szCs w:val="16"/>
        </w:rPr>
      </w:pPr>
    </w:p>
    <w:p w:rsidR="00871362" w:rsidRPr="00871362" w:rsidRDefault="004228E8" w:rsidP="00101230">
      <w:pPr>
        <w:jc w:val="center"/>
        <w:rPr>
          <w:rFonts w:ascii="Trebuchet MS" w:hAnsi="Trebuchet MS" w:cs="Arial"/>
          <w:i/>
          <w:color w:val="212121"/>
          <w:sz w:val="18"/>
          <w:szCs w:val="18"/>
        </w:rPr>
      </w:pPr>
      <w:r w:rsidRPr="00991C45">
        <w:rPr>
          <w:rFonts w:ascii="Trebuchet MS" w:hAnsi="Trebuchet MS" w:cs="Arial"/>
          <w:i/>
          <w:color w:val="212121"/>
          <w:sz w:val="16"/>
          <w:szCs w:val="16"/>
        </w:rPr>
        <w:t>„Conţinutul acestui material nu reprezintă în mod obligatoriu poziţia oficială a Uniunii Europene sau a Guvernului României</w:t>
      </w:r>
      <w:r w:rsidRPr="00991C45">
        <w:rPr>
          <w:rFonts w:ascii="Trebuchet MS" w:hAnsi="Trebuchet MS" w:cs="Arial"/>
          <w:i/>
          <w:color w:val="212121"/>
          <w:sz w:val="18"/>
          <w:szCs w:val="18"/>
        </w:rPr>
        <w:t>”</w:t>
      </w:r>
    </w:p>
    <w:sectPr w:rsidR="00871362" w:rsidRPr="00871362" w:rsidSect="00BF6083">
      <w:headerReference w:type="even" r:id="rId8"/>
      <w:headerReference w:type="default" r:id="rId9"/>
      <w:footerReference w:type="default" r:id="rId10"/>
      <w:headerReference w:type="first" r:id="rId11"/>
      <w:footerReference w:type="first" r:id="rId12"/>
      <w:pgSz w:w="11907" w:h="16839" w:code="9"/>
      <w:pgMar w:top="964" w:right="709" w:bottom="510" w:left="1276" w:header="284" w:footer="81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757" w:rsidRDefault="00CB1757">
      <w:r>
        <w:separator/>
      </w:r>
    </w:p>
  </w:endnote>
  <w:endnote w:type="continuationSeparator" w:id="1">
    <w:p w:rsidR="00CB1757" w:rsidRDefault="00CB1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3" w:rsidRDefault="00BF6083"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p>
  <w:p w:rsidR="00801FE0" w:rsidRDefault="004228E8" w:rsidP="00801FE0">
    <w:pPr>
      <w:tabs>
        <w:tab w:val="center" w:pos="4536"/>
        <w:tab w:val="right" w:pos="9072"/>
      </w:tabs>
      <w:rPr>
        <w:rFonts w:ascii="Trebuchet MS" w:hAnsi="Trebuchet MS" w:cs="Arial"/>
        <w:i/>
        <w:sz w:val="14"/>
        <w:szCs w:val="14"/>
      </w:rPr>
    </w:pPr>
    <w:r w:rsidRPr="004228E8">
      <w:rPr>
        <w:rFonts w:ascii="Trebuchet MS" w:hAnsi="Trebuchet MS" w:cs="Arial"/>
        <w:i/>
        <w:noProof/>
        <w:sz w:val="14"/>
        <w:szCs w:val="14"/>
        <w:lang w:eastAsia="ro-RO"/>
      </w:rPr>
      <w:drawing>
        <wp:anchor distT="0" distB="0" distL="114300" distR="114300" simplePos="0" relativeHeight="251658240" behindDoc="1" locked="0" layoutInCell="1" allowOverlap="1">
          <wp:simplePos x="0" y="0"/>
          <wp:positionH relativeFrom="column">
            <wp:posOffset>199390</wp:posOffset>
          </wp:positionH>
          <wp:positionV relativeFrom="paragraph">
            <wp:posOffset>-201295</wp:posOffset>
          </wp:positionV>
          <wp:extent cx="6096000" cy="666750"/>
          <wp:effectExtent l="0" t="0" r="0" b="0"/>
          <wp:wrapTight wrapText="bothSides">
            <wp:wrapPolygon edited="0">
              <wp:start x="0" y="0"/>
              <wp:lineTo x="0" y="20943"/>
              <wp:lineTo x="21533" y="20943"/>
              <wp:lineTo x="21533" y="0"/>
              <wp:lineTo x="0" y="0"/>
            </wp:wrapPolygon>
          </wp:wrapTight>
          <wp:docPr id="2" name="Picture 5"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668020"/>
                  </a:xfrm>
                  <a:prstGeom prst="rect">
                    <a:avLst/>
                  </a:prstGeom>
                  <a:noFill/>
                  <a:ln>
                    <a:noFill/>
                  </a:ln>
                </pic:spPr>
              </pic:pic>
            </a:graphicData>
          </a:graphic>
        </wp:anchor>
      </w:drawing>
    </w:r>
  </w:p>
  <w:p w:rsidR="00FA535C" w:rsidRPr="00E46CF1" w:rsidRDefault="00FA535C" w:rsidP="00FA535C">
    <w:pPr>
      <w:pStyle w:val="Footer"/>
      <w:jc w:val="right"/>
      <w:rPr>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68" w:rsidRPr="00B81568" w:rsidRDefault="00011030" w:rsidP="00B81568">
    <w:pPr>
      <w:pStyle w:val="NormalWeb"/>
      <w:jc w:val="center"/>
      <w:rPr>
        <w:rFonts w:ascii="Arial" w:hAnsi="Arial" w:cs="Arial"/>
        <w:i/>
        <w:sz w:val="18"/>
        <w:szCs w:val="18"/>
      </w:rPr>
    </w:pPr>
    <w:r w:rsidRPr="00242973">
      <w:rPr>
        <w:rFonts w:ascii="Arial" w:hAnsi="Arial" w:cs="Arial"/>
        <w:noProof/>
        <w:sz w:val="16"/>
        <w:szCs w:val="16"/>
        <w:lang w:val="ro-RO" w:eastAsia="ro-RO"/>
      </w:rPr>
      <w:drawing>
        <wp:anchor distT="0" distB="0" distL="114300" distR="114300" simplePos="0" relativeHeight="251656192" behindDoc="1" locked="0" layoutInCell="1" allowOverlap="1">
          <wp:simplePos x="0" y="0"/>
          <wp:positionH relativeFrom="column">
            <wp:posOffset>46990</wp:posOffset>
          </wp:positionH>
          <wp:positionV relativeFrom="paragraph">
            <wp:posOffset>-73025</wp:posOffset>
          </wp:positionV>
          <wp:extent cx="6096000" cy="668020"/>
          <wp:effectExtent l="0" t="0" r="0" b="0"/>
          <wp:wrapTight wrapText="bothSides">
            <wp:wrapPolygon edited="0">
              <wp:start x="0" y="0"/>
              <wp:lineTo x="0" y="20943"/>
              <wp:lineTo x="21533" y="20943"/>
              <wp:lineTo x="21533" y="0"/>
              <wp:lineTo x="0" y="0"/>
            </wp:wrapPolygon>
          </wp:wrapTight>
          <wp:docPr id="5" name="Picture 5"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668020"/>
                  </a:xfrm>
                  <a:prstGeom prst="rect">
                    <a:avLst/>
                  </a:prstGeom>
                  <a:noFill/>
                  <a:ln>
                    <a:noFill/>
                  </a:ln>
                </pic:spPr>
              </pic:pic>
            </a:graphicData>
          </a:graphic>
        </wp:anchor>
      </w:drawing>
    </w:r>
  </w:p>
  <w:p w:rsidR="00801FE0" w:rsidRPr="00AB74DF" w:rsidRDefault="00801FE0" w:rsidP="00AB7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757" w:rsidRDefault="00CB1757">
      <w:r>
        <w:separator/>
      </w:r>
    </w:p>
  </w:footnote>
  <w:footnote w:type="continuationSeparator" w:id="1">
    <w:p w:rsidR="00CB1757" w:rsidRDefault="00CB1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A2" w:rsidRDefault="00DF27D0">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216;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1B" w:rsidRDefault="008F181B" w:rsidP="008A6E07">
    <w:pPr>
      <w:pStyle w:val="Header"/>
      <w:ind w:left="-2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E0" w:rsidRPr="004553B8" w:rsidRDefault="00A00608" w:rsidP="00B81568">
    <w:pPr>
      <w:pStyle w:val="Header"/>
      <w:ind w:left="-1134"/>
    </w:pPr>
    <w:r w:rsidRPr="00A00608">
      <w:rPr>
        <w:noProof/>
        <w:lang w:eastAsia="ro-RO"/>
      </w:rPr>
      <w:drawing>
        <wp:anchor distT="0" distB="0" distL="114300" distR="114300" simplePos="0" relativeHeight="251657216" behindDoc="1" locked="0" layoutInCell="1" allowOverlap="1">
          <wp:simplePos x="0" y="0"/>
          <wp:positionH relativeFrom="column">
            <wp:posOffset>-286385</wp:posOffset>
          </wp:positionH>
          <wp:positionV relativeFrom="paragraph">
            <wp:posOffset>76835</wp:posOffset>
          </wp:positionV>
          <wp:extent cx="6791325" cy="632460"/>
          <wp:effectExtent l="0" t="0" r="9525" b="0"/>
          <wp:wrapTight wrapText="bothSides">
            <wp:wrapPolygon edited="0">
              <wp:start x="0" y="0"/>
              <wp:lineTo x="0" y="20819"/>
              <wp:lineTo x="21570" y="20819"/>
              <wp:lineTo x="21570" y="0"/>
              <wp:lineTo x="0" y="0"/>
            </wp:wrapPolygon>
          </wp:wrapTight>
          <wp:docPr id="4" name="Picture 4" descr="C:\Users\elena.dragos\Desktop\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antet.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91325" cy="6324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E0A6C"/>
    <w:multiLevelType w:val="hybridMultilevel"/>
    <w:tmpl w:val="4C3601CA"/>
    <w:lvl w:ilvl="0" w:tplc="8DF0CDAE">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535FC3"/>
    <w:rsid w:val="00003D0B"/>
    <w:rsid w:val="00004577"/>
    <w:rsid w:val="0000759C"/>
    <w:rsid w:val="00007E72"/>
    <w:rsid w:val="000105E4"/>
    <w:rsid w:val="00011030"/>
    <w:rsid w:val="00011329"/>
    <w:rsid w:val="000116C0"/>
    <w:rsid w:val="000154E8"/>
    <w:rsid w:val="00016819"/>
    <w:rsid w:val="0001719B"/>
    <w:rsid w:val="00021CCC"/>
    <w:rsid w:val="00026F89"/>
    <w:rsid w:val="00027208"/>
    <w:rsid w:val="00032AB1"/>
    <w:rsid w:val="00034D6C"/>
    <w:rsid w:val="000364E6"/>
    <w:rsid w:val="00036587"/>
    <w:rsid w:val="00036BB0"/>
    <w:rsid w:val="00041D61"/>
    <w:rsid w:val="00042FDE"/>
    <w:rsid w:val="0004317F"/>
    <w:rsid w:val="00045F64"/>
    <w:rsid w:val="000520A2"/>
    <w:rsid w:val="0005215B"/>
    <w:rsid w:val="00054A7F"/>
    <w:rsid w:val="00055653"/>
    <w:rsid w:val="00057516"/>
    <w:rsid w:val="00062028"/>
    <w:rsid w:val="00063DCF"/>
    <w:rsid w:val="00065E98"/>
    <w:rsid w:val="00074AA3"/>
    <w:rsid w:val="0008183E"/>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230"/>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360E"/>
    <w:rsid w:val="00177A24"/>
    <w:rsid w:val="0018080E"/>
    <w:rsid w:val="001939B5"/>
    <w:rsid w:val="0019430A"/>
    <w:rsid w:val="0019780B"/>
    <w:rsid w:val="001A64A5"/>
    <w:rsid w:val="001A6FD7"/>
    <w:rsid w:val="001B049C"/>
    <w:rsid w:val="001B3515"/>
    <w:rsid w:val="001B5FEA"/>
    <w:rsid w:val="001C204D"/>
    <w:rsid w:val="001C3C2E"/>
    <w:rsid w:val="001C48A9"/>
    <w:rsid w:val="001D1010"/>
    <w:rsid w:val="001D1BBD"/>
    <w:rsid w:val="001D2521"/>
    <w:rsid w:val="001D5A40"/>
    <w:rsid w:val="001D5E15"/>
    <w:rsid w:val="001E171A"/>
    <w:rsid w:val="001E7472"/>
    <w:rsid w:val="001E7DB6"/>
    <w:rsid w:val="001F14BF"/>
    <w:rsid w:val="001F6BE1"/>
    <w:rsid w:val="002045A2"/>
    <w:rsid w:val="002114F5"/>
    <w:rsid w:val="00211991"/>
    <w:rsid w:val="0021435A"/>
    <w:rsid w:val="00217080"/>
    <w:rsid w:val="00224CCC"/>
    <w:rsid w:val="0023648A"/>
    <w:rsid w:val="00236F26"/>
    <w:rsid w:val="00237623"/>
    <w:rsid w:val="00242973"/>
    <w:rsid w:val="0024481B"/>
    <w:rsid w:val="00245E4D"/>
    <w:rsid w:val="00251EDB"/>
    <w:rsid w:val="00252621"/>
    <w:rsid w:val="00253974"/>
    <w:rsid w:val="00255321"/>
    <w:rsid w:val="002601A2"/>
    <w:rsid w:val="00260B91"/>
    <w:rsid w:val="00262FE6"/>
    <w:rsid w:val="00263323"/>
    <w:rsid w:val="0026580E"/>
    <w:rsid w:val="002660CB"/>
    <w:rsid w:val="0026798C"/>
    <w:rsid w:val="00267E96"/>
    <w:rsid w:val="00271DC9"/>
    <w:rsid w:val="00272A89"/>
    <w:rsid w:val="002777D6"/>
    <w:rsid w:val="00286583"/>
    <w:rsid w:val="00292E89"/>
    <w:rsid w:val="00293A8F"/>
    <w:rsid w:val="00294655"/>
    <w:rsid w:val="002963BA"/>
    <w:rsid w:val="00296FC2"/>
    <w:rsid w:val="002A3578"/>
    <w:rsid w:val="002A40C0"/>
    <w:rsid w:val="002A76DE"/>
    <w:rsid w:val="002A7B20"/>
    <w:rsid w:val="002B2E6D"/>
    <w:rsid w:val="002B3CB1"/>
    <w:rsid w:val="002B5C61"/>
    <w:rsid w:val="002B60BD"/>
    <w:rsid w:val="002C0A60"/>
    <w:rsid w:val="002C57EB"/>
    <w:rsid w:val="002C6C72"/>
    <w:rsid w:val="002D0A4A"/>
    <w:rsid w:val="002D381D"/>
    <w:rsid w:val="002D63ED"/>
    <w:rsid w:val="002D6C84"/>
    <w:rsid w:val="002E0B2A"/>
    <w:rsid w:val="002E0F12"/>
    <w:rsid w:val="002E3A5E"/>
    <w:rsid w:val="002F2E09"/>
    <w:rsid w:val="002F6E2E"/>
    <w:rsid w:val="002F7C2A"/>
    <w:rsid w:val="00301594"/>
    <w:rsid w:val="0030725A"/>
    <w:rsid w:val="0030787A"/>
    <w:rsid w:val="00307BFC"/>
    <w:rsid w:val="0031353A"/>
    <w:rsid w:val="00317DDF"/>
    <w:rsid w:val="00317FAE"/>
    <w:rsid w:val="0032289F"/>
    <w:rsid w:val="00325BFC"/>
    <w:rsid w:val="00326F13"/>
    <w:rsid w:val="00326F4E"/>
    <w:rsid w:val="00333D11"/>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051F"/>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28E8"/>
    <w:rsid w:val="00430C56"/>
    <w:rsid w:val="00430FA1"/>
    <w:rsid w:val="00432CF6"/>
    <w:rsid w:val="00432F0F"/>
    <w:rsid w:val="00432F8D"/>
    <w:rsid w:val="00433D86"/>
    <w:rsid w:val="00435DD1"/>
    <w:rsid w:val="00437E13"/>
    <w:rsid w:val="00437EEF"/>
    <w:rsid w:val="00446089"/>
    <w:rsid w:val="004553B8"/>
    <w:rsid w:val="0045544D"/>
    <w:rsid w:val="00455F05"/>
    <w:rsid w:val="00456A67"/>
    <w:rsid w:val="004636E4"/>
    <w:rsid w:val="00465887"/>
    <w:rsid w:val="00466D2D"/>
    <w:rsid w:val="00473883"/>
    <w:rsid w:val="00474CD9"/>
    <w:rsid w:val="0048188B"/>
    <w:rsid w:val="004820AF"/>
    <w:rsid w:val="00485F83"/>
    <w:rsid w:val="004A048D"/>
    <w:rsid w:val="004A145F"/>
    <w:rsid w:val="004A6268"/>
    <w:rsid w:val="004A762C"/>
    <w:rsid w:val="004B1784"/>
    <w:rsid w:val="004B2E74"/>
    <w:rsid w:val="004B4CE1"/>
    <w:rsid w:val="004B60C7"/>
    <w:rsid w:val="004B6663"/>
    <w:rsid w:val="004B7103"/>
    <w:rsid w:val="004B7EF3"/>
    <w:rsid w:val="004B7F21"/>
    <w:rsid w:val="004C037D"/>
    <w:rsid w:val="004C1877"/>
    <w:rsid w:val="004C44B7"/>
    <w:rsid w:val="004C4A91"/>
    <w:rsid w:val="004D0257"/>
    <w:rsid w:val="004D6960"/>
    <w:rsid w:val="004E6C3C"/>
    <w:rsid w:val="004E76F5"/>
    <w:rsid w:val="004F631F"/>
    <w:rsid w:val="004F74CC"/>
    <w:rsid w:val="00501F2C"/>
    <w:rsid w:val="00501F69"/>
    <w:rsid w:val="00502294"/>
    <w:rsid w:val="00505C4C"/>
    <w:rsid w:val="00510ACC"/>
    <w:rsid w:val="0051206C"/>
    <w:rsid w:val="005121CB"/>
    <w:rsid w:val="00514C56"/>
    <w:rsid w:val="005158BA"/>
    <w:rsid w:val="00515BE6"/>
    <w:rsid w:val="00517977"/>
    <w:rsid w:val="00522AA2"/>
    <w:rsid w:val="005230F2"/>
    <w:rsid w:val="005269C9"/>
    <w:rsid w:val="00531D11"/>
    <w:rsid w:val="00532168"/>
    <w:rsid w:val="00532390"/>
    <w:rsid w:val="0053278A"/>
    <w:rsid w:val="0053306B"/>
    <w:rsid w:val="00535FC3"/>
    <w:rsid w:val="00537428"/>
    <w:rsid w:val="00547DDD"/>
    <w:rsid w:val="00551011"/>
    <w:rsid w:val="00561F52"/>
    <w:rsid w:val="00565C08"/>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1FF8"/>
    <w:rsid w:val="005D3E50"/>
    <w:rsid w:val="005D4CC5"/>
    <w:rsid w:val="005E0412"/>
    <w:rsid w:val="005F39B4"/>
    <w:rsid w:val="005F5C33"/>
    <w:rsid w:val="00600F1D"/>
    <w:rsid w:val="0060310C"/>
    <w:rsid w:val="00604168"/>
    <w:rsid w:val="00611370"/>
    <w:rsid w:val="00614D2E"/>
    <w:rsid w:val="00615C64"/>
    <w:rsid w:val="0061696A"/>
    <w:rsid w:val="00620DF2"/>
    <w:rsid w:val="00621050"/>
    <w:rsid w:val="00622147"/>
    <w:rsid w:val="00626C1B"/>
    <w:rsid w:val="006275AB"/>
    <w:rsid w:val="00627905"/>
    <w:rsid w:val="00633BA0"/>
    <w:rsid w:val="006365AF"/>
    <w:rsid w:val="006379AB"/>
    <w:rsid w:val="00640233"/>
    <w:rsid w:val="00642870"/>
    <w:rsid w:val="006470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0A06"/>
    <w:rsid w:val="006B5320"/>
    <w:rsid w:val="006C2B48"/>
    <w:rsid w:val="006C35A1"/>
    <w:rsid w:val="006C7442"/>
    <w:rsid w:val="006D2567"/>
    <w:rsid w:val="006D6A91"/>
    <w:rsid w:val="006D7B63"/>
    <w:rsid w:val="006E1E97"/>
    <w:rsid w:val="006E4338"/>
    <w:rsid w:val="006E6C70"/>
    <w:rsid w:val="006E7F5F"/>
    <w:rsid w:val="006F1E0F"/>
    <w:rsid w:val="006F642D"/>
    <w:rsid w:val="007017A1"/>
    <w:rsid w:val="0070372E"/>
    <w:rsid w:val="0070491C"/>
    <w:rsid w:val="0070569C"/>
    <w:rsid w:val="00706A18"/>
    <w:rsid w:val="00712267"/>
    <w:rsid w:val="00712A6F"/>
    <w:rsid w:val="00712CF6"/>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1B62"/>
    <w:rsid w:val="007B7950"/>
    <w:rsid w:val="007C0195"/>
    <w:rsid w:val="007D0CDD"/>
    <w:rsid w:val="007D460E"/>
    <w:rsid w:val="007D561E"/>
    <w:rsid w:val="007D676E"/>
    <w:rsid w:val="007D7EE6"/>
    <w:rsid w:val="007E2B78"/>
    <w:rsid w:val="007E5574"/>
    <w:rsid w:val="007E5763"/>
    <w:rsid w:val="007E732F"/>
    <w:rsid w:val="007E7F8B"/>
    <w:rsid w:val="007F3904"/>
    <w:rsid w:val="007F3CAA"/>
    <w:rsid w:val="007F54AF"/>
    <w:rsid w:val="007F6330"/>
    <w:rsid w:val="00801FE0"/>
    <w:rsid w:val="00806075"/>
    <w:rsid w:val="008065B5"/>
    <w:rsid w:val="00816869"/>
    <w:rsid w:val="00821714"/>
    <w:rsid w:val="0082325E"/>
    <w:rsid w:val="0082435C"/>
    <w:rsid w:val="0082491D"/>
    <w:rsid w:val="0082620F"/>
    <w:rsid w:val="00831C3B"/>
    <w:rsid w:val="008329EA"/>
    <w:rsid w:val="00834D0B"/>
    <w:rsid w:val="0083576E"/>
    <w:rsid w:val="00837402"/>
    <w:rsid w:val="0084206C"/>
    <w:rsid w:val="00842B95"/>
    <w:rsid w:val="00844BAD"/>
    <w:rsid w:val="0084672C"/>
    <w:rsid w:val="008475C0"/>
    <w:rsid w:val="00850783"/>
    <w:rsid w:val="00850F42"/>
    <w:rsid w:val="00854A2F"/>
    <w:rsid w:val="008625E5"/>
    <w:rsid w:val="00862953"/>
    <w:rsid w:val="00864283"/>
    <w:rsid w:val="00864FFE"/>
    <w:rsid w:val="008663AB"/>
    <w:rsid w:val="00870015"/>
    <w:rsid w:val="00871362"/>
    <w:rsid w:val="0087378C"/>
    <w:rsid w:val="00874766"/>
    <w:rsid w:val="008805D9"/>
    <w:rsid w:val="00881DA4"/>
    <w:rsid w:val="00884C3D"/>
    <w:rsid w:val="0088576A"/>
    <w:rsid w:val="00887213"/>
    <w:rsid w:val="008917E0"/>
    <w:rsid w:val="00892C51"/>
    <w:rsid w:val="00893634"/>
    <w:rsid w:val="00895FCB"/>
    <w:rsid w:val="008A41F4"/>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2D7F"/>
    <w:rsid w:val="009037F9"/>
    <w:rsid w:val="00903A81"/>
    <w:rsid w:val="0090455D"/>
    <w:rsid w:val="00906C3E"/>
    <w:rsid w:val="00914E45"/>
    <w:rsid w:val="00920F22"/>
    <w:rsid w:val="009216DA"/>
    <w:rsid w:val="00930D86"/>
    <w:rsid w:val="00933429"/>
    <w:rsid w:val="00934B86"/>
    <w:rsid w:val="009374F4"/>
    <w:rsid w:val="009379AC"/>
    <w:rsid w:val="00940360"/>
    <w:rsid w:val="00940825"/>
    <w:rsid w:val="009461DE"/>
    <w:rsid w:val="00946B4C"/>
    <w:rsid w:val="00946E5A"/>
    <w:rsid w:val="009532C6"/>
    <w:rsid w:val="00955E7B"/>
    <w:rsid w:val="00956114"/>
    <w:rsid w:val="00962615"/>
    <w:rsid w:val="00963DBE"/>
    <w:rsid w:val="009662F1"/>
    <w:rsid w:val="00967FE3"/>
    <w:rsid w:val="00973990"/>
    <w:rsid w:val="009773E7"/>
    <w:rsid w:val="0097757A"/>
    <w:rsid w:val="00980D73"/>
    <w:rsid w:val="009825C0"/>
    <w:rsid w:val="00982BC0"/>
    <w:rsid w:val="00983A75"/>
    <w:rsid w:val="00986DB8"/>
    <w:rsid w:val="009904C0"/>
    <w:rsid w:val="009914EA"/>
    <w:rsid w:val="00991C45"/>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0608"/>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1E"/>
    <w:rsid w:val="00AA19FA"/>
    <w:rsid w:val="00AA6696"/>
    <w:rsid w:val="00AA7451"/>
    <w:rsid w:val="00AB74DF"/>
    <w:rsid w:val="00AC19A2"/>
    <w:rsid w:val="00AD1BA3"/>
    <w:rsid w:val="00AD1E11"/>
    <w:rsid w:val="00AD2093"/>
    <w:rsid w:val="00AD53B5"/>
    <w:rsid w:val="00AD79FB"/>
    <w:rsid w:val="00AE1DCF"/>
    <w:rsid w:val="00AE2790"/>
    <w:rsid w:val="00AE2F03"/>
    <w:rsid w:val="00AE2FBA"/>
    <w:rsid w:val="00AF320A"/>
    <w:rsid w:val="00AF6C5D"/>
    <w:rsid w:val="00AF6EA2"/>
    <w:rsid w:val="00B019CD"/>
    <w:rsid w:val="00B07B0E"/>
    <w:rsid w:val="00B117DA"/>
    <w:rsid w:val="00B1260C"/>
    <w:rsid w:val="00B13053"/>
    <w:rsid w:val="00B15913"/>
    <w:rsid w:val="00B209CE"/>
    <w:rsid w:val="00B21A70"/>
    <w:rsid w:val="00B220BA"/>
    <w:rsid w:val="00B23B21"/>
    <w:rsid w:val="00B27381"/>
    <w:rsid w:val="00B370AF"/>
    <w:rsid w:val="00B42F98"/>
    <w:rsid w:val="00B47D86"/>
    <w:rsid w:val="00B50DAA"/>
    <w:rsid w:val="00B51DBF"/>
    <w:rsid w:val="00B567F6"/>
    <w:rsid w:val="00B63A77"/>
    <w:rsid w:val="00B66843"/>
    <w:rsid w:val="00B706FC"/>
    <w:rsid w:val="00B71EAA"/>
    <w:rsid w:val="00B74662"/>
    <w:rsid w:val="00B74F98"/>
    <w:rsid w:val="00B75281"/>
    <w:rsid w:val="00B75D7F"/>
    <w:rsid w:val="00B80274"/>
    <w:rsid w:val="00B81568"/>
    <w:rsid w:val="00B83BF0"/>
    <w:rsid w:val="00B92990"/>
    <w:rsid w:val="00B936F6"/>
    <w:rsid w:val="00BA1EFA"/>
    <w:rsid w:val="00BA3383"/>
    <w:rsid w:val="00BA471F"/>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D778B"/>
    <w:rsid w:val="00BE05DA"/>
    <w:rsid w:val="00BE0D64"/>
    <w:rsid w:val="00BE1175"/>
    <w:rsid w:val="00BE6ABC"/>
    <w:rsid w:val="00BE74E8"/>
    <w:rsid w:val="00BE76AE"/>
    <w:rsid w:val="00BF296D"/>
    <w:rsid w:val="00BF3954"/>
    <w:rsid w:val="00BF6083"/>
    <w:rsid w:val="00BF697F"/>
    <w:rsid w:val="00BF7CBA"/>
    <w:rsid w:val="00C00AA5"/>
    <w:rsid w:val="00C0142B"/>
    <w:rsid w:val="00C134CD"/>
    <w:rsid w:val="00C13697"/>
    <w:rsid w:val="00C14E30"/>
    <w:rsid w:val="00C22C43"/>
    <w:rsid w:val="00C242AF"/>
    <w:rsid w:val="00C3069C"/>
    <w:rsid w:val="00C315B9"/>
    <w:rsid w:val="00C34592"/>
    <w:rsid w:val="00C34750"/>
    <w:rsid w:val="00C35CDD"/>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1757"/>
    <w:rsid w:val="00CB2D26"/>
    <w:rsid w:val="00CB6809"/>
    <w:rsid w:val="00CC0920"/>
    <w:rsid w:val="00CC61DE"/>
    <w:rsid w:val="00CD029B"/>
    <w:rsid w:val="00CD199E"/>
    <w:rsid w:val="00CD7E06"/>
    <w:rsid w:val="00CE27AF"/>
    <w:rsid w:val="00CF240D"/>
    <w:rsid w:val="00CF3130"/>
    <w:rsid w:val="00CF6C5B"/>
    <w:rsid w:val="00CF722C"/>
    <w:rsid w:val="00D01302"/>
    <w:rsid w:val="00D04345"/>
    <w:rsid w:val="00D049DC"/>
    <w:rsid w:val="00D06FEC"/>
    <w:rsid w:val="00D11702"/>
    <w:rsid w:val="00D14642"/>
    <w:rsid w:val="00D21340"/>
    <w:rsid w:val="00D2463A"/>
    <w:rsid w:val="00D25CEE"/>
    <w:rsid w:val="00D2638E"/>
    <w:rsid w:val="00D3142F"/>
    <w:rsid w:val="00D356B1"/>
    <w:rsid w:val="00D4084F"/>
    <w:rsid w:val="00D41D17"/>
    <w:rsid w:val="00D51AFF"/>
    <w:rsid w:val="00D53AD3"/>
    <w:rsid w:val="00D53CBE"/>
    <w:rsid w:val="00D545AC"/>
    <w:rsid w:val="00D54E15"/>
    <w:rsid w:val="00D554D8"/>
    <w:rsid w:val="00D61010"/>
    <w:rsid w:val="00D67158"/>
    <w:rsid w:val="00D70790"/>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2F5A"/>
    <w:rsid w:val="00DB7C88"/>
    <w:rsid w:val="00DC027A"/>
    <w:rsid w:val="00DC0531"/>
    <w:rsid w:val="00DC0F40"/>
    <w:rsid w:val="00DC1A7C"/>
    <w:rsid w:val="00DC24EE"/>
    <w:rsid w:val="00DC3AED"/>
    <w:rsid w:val="00DD60B3"/>
    <w:rsid w:val="00DD77D0"/>
    <w:rsid w:val="00DD7A67"/>
    <w:rsid w:val="00DE1DD6"/>
    <w:rsid w:val="00DE7C79"/>
    <w:rsid w:val="00DE7DD6"/>
    <w:rsid w:val="00DF1A57"/>
    <w:rsid w:val="00DF27D0"/>
    <w:rsid w:val="00DF456F"/>
    <w:rsid w:val="00DF483A"/>
    <w:rsid w:val="00DF661A"/>
    <w:rsid w:val="00DF7A52"/>
    <w:rsid w:val="00E010CF"/>
    <w:rsid w:val="00E03AC3"/>
    <w:rsid w:val="00E057A2"/>
    <w:rsid w:val="00E1273B"/>
    <w:rsid w:val="00E128E4"/>
    <w:rsid w:val="00E16E78"/>
    <w:rsid w:val="00E20570"/>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56F0A"/>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A58AE"/>
    <w:rsid w:val="00EB4BFC"/>
    <w:rsid w:val="00EB4C43"/>
    <w:rsid w:val="00EB654E"/>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489"/>
    <w:rsid w:val="00F17F59"/>
    <w:rsid w:val="00F2650B"/>
    <w:rsid w:val="00F27FAE"/>
    <w:rsid w:val="00F35297"/>
    <w:rsid w:val="00F369B3"/>
    <w:rsid w:val="00F37A78"/>
    <w:rsid w:val="00F41DF8"/>
    <w:rsid w:val="00F46023"/>
    <w:rsid w:val="00F460C6"/>
    <w:rsid w:val="00F461B7"/>
    <w:rsid w:val="00F50030"/>
    <w:rsid w:val="00F5476B"/>
    <w:rsid w:val="00F54D39"/>
    <w:rsid w:val="00F56B8D"/>
    <w:rsid w:val="00F6208C"/>
    <w:rsid w:val="00F670DD"/>
    <w:rsid w:val="00F67321"/>
    <w:rsid w:val="00F67C7A"/>
    <w:rsid w:val="00F74C2E"/>
    <w:rsid w:val="00F805B1"/>
    <w:rsid w:val="00F823C0"/>
    <w:rsid w:val="00F825E4"/>
    <w:rsid w:val="00F87977"/>
    <w:rsid w:val="00F908F0"/>
    <w:rsid w:val="00F90ACF"/>
    <w:rsid w:val="00F92AAD"/>
    <w:rsid w:val="00F92E44"/>
    <w:rsid w:val="00F93361"/>
    <w:rsid w:val="00F95492"/>
    <w:rsid w:val="00F9585C"/>
    <w:rsid w:val="00FA2A01"/>
    <w:rsid w:val="00FA455F"/>
    <w:rsid w:val="00FA535C"/>
    <w:rsid w:val="00FB637A"/>
    <w:rsid w:val="00FB7193"/>
    <w:rsid w:val="00FC129E"/>
    <w:rsid w:val="00FC62FC"/>
    <w:rsid w:val="00FD23CD"/>
    <w:rsid w:val="00FD47FA"/>
    <w:rsid w:val="00FE13DC"/>
    <w:rsid w:val="00FE347A"/>
    <w:rsid w:val="00FE3E56"/>
    <w:rsid w:val="00FE61A3"/>
    <w:rsid w:val="00FF0510"/>
    <w:rsid w:val="00FF1C30"/>
    <w:rsid w:val="00FF3BE1"/>
    <w:rsid w:val="00FF5969"/>
    <w:rsid w:val="00FF7A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BD778B"/>
    <w:rPr>
      <w:color w:val="0000FF" w:themeColor="hyperlink"/>
      <w:u w:val="single"/>
    </w:rPr>
  </w:style>
  <w:style w:type="paragraph" w:styleId="NormalWeb">
    <w:name w:val="Normal (Web)"/>
    <w:basedOn w:val="Normal"/>
    <w:uiPriority w:val="99"/>
    <w:unhideWhenUsed/>
    <w:rsid w:val="00011030"/>
    <w:pPr>
      <w:spacing w:before="100" w:beforeAutospacing="1" w:after="100" w:afterAutospacing="1"/>
    </w:pPr>
    <w:rPr>
      <w:rFonts w:eastAsia="Times New Roman"/>
      <w:lang w:val="en-US"/>
    </w:rPr>
  </w:style>
  <w:style w:type="character" w:customStyle="1" w:styleId="TitleChar">
    <w:name w:val="Title Char"/>
    <w:basedOn w:val="DefaultParagraphFont"/>
    <w:link w:val="Title"/>
    <w:uiPriority w:val="10"/>
    <w:rsid w:val="00004577"/>
    <w:rPr>
      <w:rFonts w:ascii="Verdana" w:eastAsia="Times New Roman" w:hAnsi="Verdana"/>
      <w:b/>
      <w:sz w:val="28"/>
      <w:lang w:eastAsia="en-US"/>
    </w:rPr>
  </w:style>
  <w:style w:type="character" w:customStyle="1" w:styleId="UnresolvedMention1">
    <w:name w:val="Unresolved Mention1"/>
    <w:basedOn w:val="DefaultParagraphFont"/>
    <w:uiPriority w:val="99"/>
    <w:semiHidden/>
    <w:unhideWhenUsed/>
    <w:rsid w:val="00F6208C"/>
    <w:rPr>
      <w:color w:val="605E5C"/>
      <w:shd w:val="clear" w:color="auto" w:fill="E1DFDD"/>
    </w:rPr>
  </w:style>
  <w:style w:type="character" w:styleId="Strong">
    <w:name w:val="Strong"/>
    <w:basedOn w:val="DefaultParagraphFont"/>
    <w:uiPriority w:val="22"/>
    <w:qFormat/>
    <w:locked/>
    <w:rsid w:val="00B92990"/>
    <w:rPr>
      <w:b/>
      <w:bCs/>
    </w:rPr>
  </w:style>
  <w:style w:type="character" w:styleId="CommentReference">
    <w:name w:val="annotation reference"/>
    <w:basedOn w:val="DefaultParagraphFont"/>
    <w:semiHidden/>
    <w:unhideWhenUsed/>
    <w:rsid w:val="00B81568"/>
    <w:rPr>
      <w:sz w:val="16"/>
      <w:szCs w:val="16"/>
    </w:rPr>
  </w:style>
  <w:style w:type="paragraph" w:styleId="CommentText">
    <w:name w:val="annotation text"/>
    <w:basedOn w:val="Normal"/>
    <w:link w:val="CommentTextChar"/>
    <w:unhideWhenUsed/>
    <w:rsid w:val="00B81568"/>
    <w:rPr>
      <w:sz w:val="20"/>
      <w:szCs w:val="20"/>
    </w:rPr>
  </w:style>
  <w:style w:type="character" w:customStyle="1" w:styleId="CommentTextChar">
    <w:name w:val="Comment Text Char"/>
    <w:basedOn w:val="DefaultParagraphFont"/>
    <w:link w:val="CommentText"/>
    <w:rsid w:val="00B8156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B81568"/>
    <w:rPr>
      <w:b/>
      <w:bCs/>
    </w:rPr>
  </w:style>
  <w:style w:type="character" w:customStyle="1" w:styleId="CommentSubjectChar">
    <w:name w:val="Comment Subject Char"/>
    <w:basedOn w:val="CommentTextChar"/>
    <w:link w:val="CommentSubject"/>
    <w:semiHidden/>
    <w:rsid w:val="00B81568"/>
    <w:rPr>
      <w:rFonts w:ascii="Times New Roman" w:hAnsi="Times New Roman"/>
      <w:b/>
      <w:bCs/>
      <w:lang w:eastAsia="en-US"/>
    </w:rPr>
  </w:style>
  <w:style w:type="paragraph" w:styleId="Revision">
    <w:name w:val="Revision"/>
    <w:hidden/>
    <w:uiPriority w:val="99"/>
    <w:semiHidden/>
    <w:rsid w:val="00B83BF0"/>
    <w:rPr>
      <w:rFonts w:ascii="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4237565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4592">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2352">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8733">
      <w:bodyDiv w:val="1"/>
      <w:marLeft w:val="0"/>
      <w:marRight w:val="0"/>
      <w:marTop w:val="0"/>
      <w:marBottom w:val="0"/>
      <w:divBdr>
        <w:top w:val="none" w:sz="0" w:space="0" w:color="auto"/>
        <w:left w:val="none" w:sz="0" w:space="0" w:color="auto"/>
        <w:bottom w:val="none" w:sz="0" w:space="0" w:color="auto"/>
        <w:right w:val="none" w:sz="0" w:space="0" w:color="auto"/>
      </w:divBdr>
      <w:divsChild>
        <w:div w:id="350841274">
          <w:marLeft w:val="0"/>
          <w:marRight w:val="0"/>
          <w:marTop w:val="0"/>
          <w:marBottom w:val="0"/>
          <w:divBdr>
            <w:top w:val="none" w:sz="0" w:space="0" w:color="auto"/>
            <w:left w:val="none" w:sz="0" w:space="0" w:color="auto"/>
            <w:bottom w:val="none" w:sz="0" w:space="0" w:color="auto"/>
            <w:right w:val="none" w:sz="0" w:space="0" w:color="auto"/>
          </w:divBdr>
        </w:div>
        <w:div w:id="969432205">
          <w:marLeft w:val="0"/>
          <w:marRight w:val="0"/>
          <w:marTop w:val="120"/>
          <w:marBottom w:val="0"/>
          <w:divBdr>
            <w:top w:val="none" w:sz="0" w:space="0" w:color="auto"/>
            <w:left w:val="none" w:sz="0" w:space="0" w:color="auto"/>
            <w:bottom w:val="none" w:sz="0" w:space="0" w:color="auto"/>
            <w:right w:val="none" w:sz="0" w:space="0" w:color="auto"/>
          </w:divBdr>
          <w:divsChild>
            <w:div w:id="545718540">
              <w:marLeft w:val="0"/>
              <w:marRight w:val="0"/>
              <w:marTop w:val="0"/>
              <w:marBottom w:val="0"/>
              <w:divBdr>
                <w:top w:val="none" w:sz="0" w:space="0" w:color="auto"/>
                <w:left w:val="none" w:sz="0" w:space="0" w:color="auto"/>
                <w:bottom w:val="none" w:sz="0" w:space="0" w:color="auto"/>
                <w:right w:val="none" w:sz="0" w:space="0" w:color="auto"/>
              </w:divBdr>
            </w:div>
            <w:div w:id="947663273">
              <w:marLeft w:val="0"/>
              <w:marRight w:val="0"/>
              <w:marTop w:val="0"/>
              <w:marBottom w:val="0"/>
              <w:divBdr>
                <w:top w:val="none" w:sz="0" w:space="0" w:color="auto"/>
                <w:left w:val="none" w:sz="0" w:space="0" w:color="auto"/>
                <w:bottom w:val="none" w:sz="0" w:space="0" w:color="auto"/>
                <w:right w:val="none" w:sz="0" w:space="0" w:color="auto"/>
              </w:divBdr>
            </w:div>
          </w:divsChild>
        </w:div>
        <w:div w:id="867375256">
          <w:marLeft w:val="0"/>
          <w:marRight w:val="0"/>
          <w:marTop w:val="120"/>
          <w:marBottom w:val="0"/>
          <w:divBdr>
            <w:top w:val="none" w:sz="0" w:space="0" w:color="auto"/>
            <w:left w:val="none" w:sz="0" w:space="0" w:color="auto"/>
            <w:bottom w:val="none" w:sz="0" w:space="0" w:color="auto"/>
            <w:right w:val="none" w:sz="0" w:space="0" w:color="auto"/>
          </w:divBdr>
          <w:divsChild>
            <w:div w:id="913130781">
              <w:marLeft w:val="0"/>
              <w:marRight w:val="0"/>
              <w:marTop w:val="0"/>
              <w:marBottom w:val="0"/>
              <w:divBdr>
                <w:top w:val="none" w:sz="0" w:space="0" w:color="auto"/>
                <w:left w:val="none" w:sz="0" w:space="0" w:color="auto"/>
                <w:bottom w:val="none" w:sz="0" w:space="0" w:color="auto"/>
                <w:right w:val="none" w:sz="0" w:space="0" w:color="auto"/>
              </w:divBdr>
            </w:div>
            <w:div w:id="81069544">
              <w:marLeft w:val="0"/>
              <w:marRight w:val="0"/>
              <w:marTop w:val="0"/>
              <w:marBottom w:val="0"/>
              <w:divBdr>
                <w:top w:val="none" w:sz="0" w:space="0" w:color="auto"/>
                <w:left w:val="none" w:sz="0" w:space="0" w:color="auto"/>
                <w:bottom w:val="none" w:sz="0" w:space="0" w:color="auto"/>
                <w:right w:val="none" w:sz="0" w:space="0" w:color="auto"/>
              </w:divBdr>
            </w:div>
            <w:div w:id="317810550">
              <w:marLeft w:val="0"/>
              <w:marRight w:val="0"/>
              <w:marTop w:val="0"/>
              <w:marBottom w:val="0"/>
              <w:divBdr>
                <w:top w:val="none" w:sz="0" w:space="0" w:color="auto"/>
                <w:left w:val="none" w:sz="0" w:space="0" w:color="auto"/>
                <w:bottom w:val="none" w:sz="0" w:space="0" w:color="auto"/>
                <w:right w:val="none" w:sz="0" w:space="0" w:color="auto"/>
              </w:divBdr>
            </w:div>
          </w:divsChild>
        </w:div>
        <w:div w:id="623773293">
          <w:marLeft w:val="0"/>
          <w:marRight w:val="0"/>
          <w:marTop w:val="120"/>
          <w:marBottom w:val="0"/>
          <w:divBdr>
            <w:top w:val="none" w:sz="0" w:space="0" w:color="auto"/>
            <w:left w:val="none" w:sz="0" w:space="0" w:color="auto"/>
            <w:bottom w:val="none" w:sz="0" w:space="0" w:color="auto"/>
            <w:right w:val="none" w:sz="0" w:space="0" w:color="auto"/>
          </w:divBdr>
          <w:divsChild>
            <w:div w:id="376704952">
              <w:marLeft w:val="0"/>
              <w:marRight w:val="0"/>
              <w:marTop w:val="0"/>
              <w:marBottom w:val="0"/>
              <w:divBdr>
                <w:top w:val="none" w:sz="0" w:space="0" w:color="auto"/>
                <w:left w:val="none" w:sz="0" w:space="0" w:color="auto"/>
                <w:bottom w:val="none" w:sz="0" w:space="0" w:color="auto"/>
                <w:right w:val="none" w:sz="0" w:space="0" w:color="auto"/>
              </w:divBdr>
            </w:div>
          </w:divsChild>
        </w:div>
        <w:div w:id="1299412359">
          <w:marLeft w:val="0"/>
          <w:marRight w:val="0"/>
          <w:marTop w:val="120"/>
          <w:marBottom w:val="0"/>
          <w:divBdr>
            <w:top w:val="none" w:sz="0" w:space="0" w:color="auto"/>
            <w:left w:val="none" w:sz="0" w:space="0" w:color="auto"/>
            <w:bottom w:val="none" w:sz="0" w:space="0" w:color="auto"/>
            <w:right w:val="none" w:sz="0" w:space="0" w:color="auto"/>
          </w:divBdr>
          <w:divsChild>
            <w:div w:id="2080058464">
              <w:marLeft w:val="0"/>
              <w:marRight w:val="0"/>
              <w:marTop w:val="0"/>
              <w:marBottom w:val="0"/>
              <w:divBdr>
                <w:top w:val="none" w:sz="0" w:space="0" w:color="auto"/>
                <w:left w:val="none" w:sz="0" w:space="0" w:color="auto"/>
                <w:bottom w:val="none" w:sz="0" w:space="0" w:color="auto"/>
                <w:right w:val="none" w:sz="0" w:space="0" w:color="auto"/>
              </w:divBdr>
            </w:div>
            <w:div w:id="1140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5145">
      <w:bodyDiv w:val="1"/>
      <w:marLeft w:val="0"/>
      <w:marRight w:val="0"/>
      <w:marTop w:val="0"/>
      <w:marBottom w:val="0"/>
      <w:divBdr>
        <w:top w:val="none" w:sz="0" w:space="0" w:color="auto"/>
        <w:left w:val="none" w:sz="0" w:space="0" w:color="auto"/>
        <w:bottom w:val="none" w:sz="0" w:space="0" w:color="auto"/>
        <w:right w:val="none" w:sz="0" w:space="0" w:color="auto"/>
      </w:divBdr>
      <w:divsChild>
        <w:div w:id="1305543200">
          <w:marLeft w:val="0"/>
          <w:marRight w:val="0"/>
          <w:marTop w:val="0"/>
          <w:marBottom w:val="0"/>
          <w:divBdr>
            <w:top w:val="none" w:sz="0" w:space="0" w:color="auto"/>
            <w:left w:val="none" w:sz="0" w:space="0" w:color="auto"/>
            <w:bottom w:val="none" w:sz="0" w:space="0" w:color="auto"/>
            <w:right w:val="none" w:sz="0" w:space="0" w:color="auto"/>
          </w:divBdr>
        </w:div>
        <w:div w:id="2045520285">
          <w:marLeft w:val="0"/>
          <w:marRight w:val="0"/>
          <w:marTop w:val="120"/>
          <w:marBottom w:val="0"/>
          <w:divBdr>
            <w:top w:val="none" w:sz="0" w:space="0" w:color="auto"/>
            <w:left w:val="none" w:sz="0" w:space="0" w:color="auto"/>
            <w:bottom w:val="none" w:sz="0" w:space="0" w:color="auto"/>
            <w:right w:val="none" w:sz="0" w:space="0" w:color="auto"/>
          </w:divBdr>
          <w:divsChild>
            <w:div w:id="82260078">
              <w:marLeft w:val="0"/>
              <w:marRight w:val="0"/>
              <w:marTop w:val="0"/>
              <w:marBottom w:val="0"/>
              <w:divBdr>
                <w:top w:val="none" w:sz="0" w:space="0" w:color="auto"/>
                <w:left w:val="none" w:sz="0" w:space="0" w:color="auto"/>
                <w:bottom w:val="none" w:sz="0" w:space="0" w:color="auto"/>
                <w:right w:val="none" w:sz="0" w:space="0" w:color="auto"/>
              </w:divBdr>
            </w:div>
          </w:divsChild>
        </w:div>
        <w:div w:id="524174365">
          <w:marLeft w:val="0"/>
          <w:marRight w:val="0"/>
          <w:marTop w:val="120"/>
          <w:marBottom w:val="0"/>
          <w:divBdr>
            <w:top w:val="none" w:sz="0" w:space="0" w:color="auto"/>
            <w:left w:val="none" w:sz="0" w:space="0" w:color="auto"/>
            <w:bottom w:val="none" w:sz="0" w:space="0" w:color="auto"/>
            <w:right w:val="none" w:sz="0" w:space="0" w:color="auto"/>
          </w:divBdr>
          <w:divsChild>
            <w:div w:id="197471704">
              <w:marLeft w:val="0"/>
              <w:marRight w:val="0"/>
              <w:marTop w:val="0"/>
              <w:marBottom w:val="0"/>
              <w:divBdr>
                <w:top w:val="none" w:sz="0" w:space="0" w:color="auto"/>
                <w:left w:val="none" w:sz="0" w:space="0" w:color="auto"/>
                <w:bottom w:val="none" w:sz="0" w:space="0" w:color="auto"/>
                <w:right w:val="none" w:sz="0" w:space="0" w:color="auto"/>
              </w:divBdr>
            </w:div>
            <w:div w:id="1065492566">
              <w:marLeft w:val="0"/>
              <w:marRight w:val="0"/>
              <w:marTop w:val="0"/>
              <w:marBottom w:val="0"/>
              <w:divBdr>
                <w:top w:val="none" w:sz="0" w:space="0" w:color="auto"/>
                <w:left w:val="none" w:sz="0" w:space="0" w:color="auto"/>
                <w:bottom w:val="none" w:sz="0" w:space="0" w:color="auto"/>
                <w:right w:val="none" w:sz="0" w:space="0" w:color="auto"/>
              </w:divBdr>
            </w:div>
          </w:divsChild>
        </w:div>
        <w:div w:id="756024043">
          <w:marLeft w:val="0"/>
          <w:marRight w:val="0"/>
          <w:marTop w:val="120"/>
          <w:marBottom w:val="0"/>
          <w:divBdr>
            <w:top w:val="none" w:sz="0" w:space="0" w:color="auto"/>
            <w:left w:val="none" w:sz="0" w:space="0" w:color="auto"/>
            <w:bottom w:val="none" w:sz="0" w:space="0" w:color="auto"/>
            <w:right w:val="none" w:sz="0" w:space="0" w:color="auto"/>
          </w:divBdr>
          <w:divsChild>
            <w:div w:id="9582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3495">
      <w:bodyDiv w:val="1"/>
      <w:marLeft w:val="0"/>
      <w:marRight w:val="0"/>
      <w:marTop w:val="0"/>
      <w:marBottom w:val="0"/>
      <w:divBdr>
        <w:top w:val="none" w:sz="0" w:space="0" w:color="auto"/>
        <w:left w:val="none" w:sz="0" w:space="0" w:color="auto"/>
        <w:bottom w:val="none" w:sz="0" w:space="0" w:color="auto"/>
        <w:right w:val="none" w:sz="0" w:space="0" w:color="auto"/>
      </w:divBdr>
    </w:div>
    <w:div w:id="20682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8F2C-C9F0-4367-A0EC-2AF47C46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Florina Elena Dragos</dc:creator>
  <cp:lastModifiedBy>PRIMARIE</cp:lastModifiedBy>
  <cp:revision>2</cp:revision>
  <cp:lastPrinted>2024-06-28T08:13:00Z</cp:lastPrinted>
  <dcterms:created xsi:type="dcterms:W3CDTF">2024-06-28T08:15:00Z</dcterms:created>
  <dcterms:modified xsi:type="dcterms:W3CDTF">2024-06-28T08:15:00Z</dcterms:modified>
</cp:coreProperties>
</file>